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E5A5D">
      <w:pPr>
        <w:pStyle w:val="1"/>
        <w:widowControl/>
        <w:spacing w:before="0"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81750" cy="714375"/>
            <wp:effectExtent l="19050" t="0" r="0" b="0"/>
            <wp:docPr id="1" name="Рисунок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48" w:rsidRDefault="00C06348" w:rsidP="00C06348">
      <w:pPr>
        <w:pStyle w:val="3"/>
        <w:shd w:val="clear" w:color="auto" w:fill="F8F8F8"/>
        <w:spacing w:before="210" w:after="105"/>
        <w:jc w:val="center"/>
        <w:textAlignment w:val="top"/>
        <w:rPr>
          <w:sz w:val="24"/>
          <w:szCs w:val="24"/>
        </w:rPr>
      </w:pPr>
      <w:r>
        <w:rPr>
          <w:sz w:val="24"/>
          <w:szCs w:val="24"/>
        </w:rPr>
        <w:t>Фонд содействия развитию малых форм предприятий в научно-технической сфере</w:t>
      </w:r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  Правительства Российской Федерации от 3 февраля 1994 г. № 65.</w:t>
      </w:r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 Координирует деятельность Фонда</w:t>
      </w:r>
      <w:r w:rsidRPr="00B232D0">
        <w:rPr>
          <w:rStyle w:val="apple-converted-space"/>
          <w:rFonts w:eastAsiaTheme="majorEastAsia"/>
          <w:sz w:val="28"/>
          <w:szCs w:val="28"/>
        </w:rPr>
        <w:t> </w:t>
      </w:r>
      <w:hyperlink r:id="rId9" w:tgtFrame="_blank" w:history="1">
        <w:r w:rsidRPr="00B232D0">
          <w:rPr>
            <w:rStyle w:val="ab"/>
            <w:rFonts w:eastAsiaTheme="minorEastAsia"/>
            <w:color w:val="CC3300"/>
            <w:sz w:val="28"/>
            <w:szCs w:val="28"/>
            <w:bdr w:val="none" w:sz="0" w:space="0" w:color="auto" w:frame="1"/>
          </w:rPr>
          <w:t>Наблюдательный совет</w:t>
        </w:r>
      </w:hyperlink>
      <w:r w:rsidRPr="00B232D0">
        <w:rPr>
          <w:color w:val="000000"/>
          <w:sz w:val="28"/>
          <w:szCs w:val="28"/>
        </w:rPr>
        <w:t>, утвержденный Правительством Российской Федерации.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Основными задачами Фонда являются: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  проведение государственной политики развития и поддержки малых предприятий в научно-технической сфере;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создание и развитие инфраструктуры поддержки малого инновационного предпринимательства;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содействие созданию новых рабочих мест для эффективного использования, имеющегося в Российской Федерации научно-технического потенциала;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привлечение внебюджетных инвестиций в сферу малого инновационного предпринимательства;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подготовка кадров (в том числе вовлечение молодежи в инновационную деятельность).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В настоящее время Фонд реализует программы инновационного развития, которые направлены на создание новых и развитие действующих высокотехнологических компаний, коммерциализацию результатов научно-технической деятельности, привлечение инвестиций в сферу малого инновационного предпринимательства, создание новых рабочих мест.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Реализуя данные задачи, Фонд ежегодно оказывает финансовую поддержку более чем 1500 малым инновационным предприятиям.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За время деятельности Фонда по всем программам было подано порядка 35 000 заявок на выполнение НИОКР и поддержано свыше 11 000  проектов из 75 субъектов Российской Федерации.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lastRenderedPageBreak/>
        <w:t>Участие малых инновационных предприятий в программах Фонда позволяет довести разработку от научной идеи до создания устойчивого бизнеса, привлекательного для отечественных и зарубежных инвесторов. Инновационные проекты предприятий проходят независимую экспертизу на научно-техническую новизну, финансово-экономическую обоснованность, перспективу рыночной реализации продукции.</w:t>
      </w:r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hyperlink r:id="rId10" w:tgtFrame="_blank" w:history="1">
        <w:r w:rsidRPr="00B232D0">
          <w:rPr>
            <w:rStyle w:val="ab"/>
            <w:rFonts w:eastAsiaTheme="minorEastAsia"/>
            <w:color w:val="CC3300"/>
            <w:sz w:val="28"/>
            <w:szCs w:val="28"/>
            <w:bdr w:val="none" w:sz="0" w:space="0" w:color="auto" w:frame="1"/>
          </w:rPr>
          <w:t>Представительства</w:t>
        </w:r>
      </w:hyperlink>
      <w:r w:rsidRPr="00B232D0">
        <w:rPr>
          <w:rStyle w:val="apple-converted-space"/>
          <w:rFonts w:eastAsiaTheme="majorEastAsia"/>
          <w:sz w:val="28"/>
          <w:szCs w:val="28"/>
        </w:rPr>
        <w:t> </w:t>
      </w:r>
      <w:r w:rsidRPr="00B232D0">
        <w:rPr>
          <w:color w:val="000000"/>
          <w:sz w:val="28"/>
          <w:szCs w:val="28"/>
        </w:rPr>
        <w:t>Фонда активно работают в 60 регионах Российской Федерации.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Основными приоритетами деятельности Фонда в ближайшие годы станет: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реализация программ, направленных на поддержку малых инновационных предприятий, реализующих научно-технические проекты,  соответствующие приоритетным направлениям модернизации  и технологического развития Российской Федерации;</w:t>
      </w:r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увеличения масштабности программ посевного и предпосевного финансирования,</w:t>
      </w:r>
      <w:r w:rsidRPr="00B232D0">
        <w:rPr>
          <w:rStyle w:val="apple-converted-space"/>
          <w:rFonts w:eastAsiaTheme="majorEastAsia"/>
          <w:sz w:val="28"/>
          <w:szCs w:val="28"/>
        </w:rPr>
        <w:t> </w:t>
      </w:r>
      <w:hyperlink r:id="rId11" w:tgtFrame="_blank" w:history="1">
        <w:r w:rsidRPr="00B232D0">
          <w:rPr>
            <w:rStyle w:val="ab"/>
            <w:rFonts w:eastAsiaTheme="minorEastAsia"/>
            <w:color w:val="CC3300"/>
            <w:sz w:val="28"/>
            <w:szCs w:val="28"/>
            <w:bdr w:val="none" w:sz="0" w:space="0" w:color="auto" w:frame="1"/>
          </w:rPr>
          <w:t>вовлечение молодежи в инновационную деятельность;</w:t>
        </w:r>
      </w:hyperlink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в качестве функциональных приоритетов для Фонда будет является устойчивое взаимодействие с институтами развития, а также активное участие в реализации механизма</w:t>
      </w:r>
      <w:r w:rsidRPr="00B232D0">
        <w:rPr>
          <w:rStyle w:val="apple-converted-space"/>
          <w:rFonts w:eastAsiaTheme="majorEastAsia"/>
          <w:sz w:val="28"/>
          <w:szCs w:val="28"/>
        </w:rPr>
        <w:t> </w:t>
      </w:r>
      <w:hyperlink r:id="rId12" w:history="1">
        <w:r w:rsidRPr="00B232D0">
          <w:rPr>
            <w:rStyle w:val="ab"/>
            <w:rFonts w:eastAsiaTheme="minorEastAsia"/>
            <w:color w:val="CC3300"/>
            <w:sz w:val="28"/>
            <w:szCs w:val="28"/>
            <w:bdr w:val="none" w:sz="0" w:space="0" w:color="auto" w:frame="1"/>
          </w:rPr>
          <w:t>инновационного лифта</w:t>
        </w:r>
      </w:hyperlink>
      <w:r w:rsidRPr="00B232D0">
        <w:rPr>
          <w:rStyle w:val="apple-converted-space"/>
          <w:rFonts w:eastAsiaTheme="majorEastAsia"/>
          <w:sz w:val="28"/>
          <w:szCs w:val="28"/>
        </w:rPr>
        <w:t> </w:t>
      </w:r>
      <w:r w:rsidRPr="00B232D0">
        <w:rPr>
          <w:color w:val="000000"/>
          <w:sz w:val="28"/>
          <w:szCs w:val="28"/>
        </w:rPr>
        <w:t>и поддержка малых инновационных предприятий, созданных в соответствии с №217-ФЗ;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дальнейшее развитие региональной сети представительств Фонда, вовлечение новых регионов в инновационный процесс;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оказание финансовой поддержки в виде грантов субъектам малого инновационного предпринимательства, осуществляющим создание и продвижение центров сертификации и патентования результатов интеллектуальной деятельности субъектов малого инновационного предпринимательства;</w:t>
      </w:r>
    </w:p>
    <w:p w:rsidR="00C06348" w:rsidRPr="00B232D0" w:rsidRDefault="00C06348" w:rsidP="00C06348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- содействие развитию экспортно-ориентированного малого инновационного бизнеса и</w:t>
      </w:r>
      <w:r w:rsidRPr="00B232D0">
        <w:rPr>
          <w:rStyle w:val="apple-converted-space"/>
          <w:rFonts w:eastAsiaTheme="majorEastAsia"/>
          <w:sz w:val="28"/>
          <w:szCs w:val="28"/>
        </w:rPr>
        <w:t> </w:t>
      </w:r>
      <w:hyperlink r:id="rId13" w:tgtFrame="_blank" w:history="1">
        <w:r w:rsidRPr="00B232D0">
          <w:rPr>
            <w:rStyle w:val="ab"/>
            <w:rFonts w:eastAsiaTheme="minorEastAsia"/>
            <w:color w:val="CC3300"/>
            <w:sz w:val="28"/>
            <w:szCs w:val="28"/>
            <w:bdr w:val="none" w:sz="0" w:space="0" w:color="auto" w:frame="1"/>
          </w:rPr>
          <w:t>международной кооперации,</w:t>
        </w:r>
      </w:hyperlink>
      <w:r w:rsidRPr="00B232D0">
        <w:rPr>
          <w:rStyle w:val="apple-converted-space"/>
          <w:rFonts w:eastAsiaTheme="majorEastAsia"/>
          <w:sz w:val="28"/>
          <w:szCs w:val="28"/>
        </w:rPr>
        <w:t> </w:t>
      </w:r>
      <w:r w:rsidRPr="00B232D0">
        <w:rPr>
          <w:color w:val="000000"/>
          <w:sz w:val="28"/>
          <w:szCs w:val="28"/>
        </w:rPr>
        <w:t>что позволит расширить возможности для интеграции российских малых инновационных предприятий в международную инновационную среду на основе развития взаимодействия с существующими партнерами Фонда и привлечения к сотрудничеству новых международных организаций.</w:t>
      </w:r>
    </w:p>
    <w:p w:rsidR="00C06348" w:rsidRPr="00B232D0" w:rsidRDefault="00C06348" w:rsidP="00C06348">
      <w:pPr>
        <w:pStyle w:val="aa"/>
        <w:spacing w:before="0" w:beforeAutospacing="0" w:after="150" w:afterAutospacing="0"/>
        <w:jc w:val="both"/>
        <w:textAlignment w:val="top"/>
        <w:rPr>
          <w:color w:val="000000"/>
          <w:sz w:val="28"/>
          <w:szCs w:val="28"/>
        </w:rPr>
      </w:pPr>
      <w:r w:rsidRPr="00B232D0">
        <w:rPr>
          <w:color w:val="000000"/>
          <w:sz w:val="28"/>
          <w:szCs w:val="28"/>
        </w:rPr>
        <w:t> </w:t>
      </w:r>
    </w:p>
    <w:p w:rsidR="00C06348" w:rsidRPr="00B232D0" w:rsidRDefault="00C06348" w:rsidP="00C06348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Style w:val="a9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>Генеральный директор Фонда:</w:t>
      </w:r>
      <w:r w:rsidRPr="00B232D0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hyperlink r:id="rId14" w:tgtFrame="_blank" w:history="1">
        <w:r w:rsidRPr="00B232D0">
          <w:rPr>
            <w:rStyle w:val="ab"/>
            <w:rFonts w:ascii="Times New Roman" w:eastAsiaTheme="minorEastAsia" w:hAnsi="Times New Roman" w:cs="Times New Roman"/>
            <w:color w:val="CC3300"/>
            <w:sz w:val="28"/>
            <w:szCs w:val="28"/>
            <w:bdr w:val="none" w:sz="0" w:space="0" w:color="auto" w:frame="1"/>
          </w:rPr>
          <w:t>Поляков Сергей Геннадьевич</w:t>
        </w:r>
      </w:hyperlink>
    </w:p>
    <w:p w:rsidR="00A77B3E" w:rsidRPr="00B232D0" w:rsidRDefault="00A77B3E">
      <w:pPr>
        <w:widowControl/>
        <w:spacing w:before="72" w:after="0" w:line="317" w:lineRule="auto"/>
        <w:ind w:left="1632" w:right="1555"/>
        <w:jc w:val="center"/>
        <w:rPr>
          <w:rFonts w:ascii="Times New Roman" w:hAnsi="Times New Roman" w:cs="Times New Roman"/>
          <w:sz w:val="28"/>
          <w:szCs w:val="28"/>
        </w:rPr>
      </w:pPr>
    </w:p>
    <w:p w:rsidR="00B232D0" w:rsidRDefault="00B232D0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12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о проведении программы «Участник молодежного научно-инновационного конкурса» («УМНИК»)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1. Общие положения.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 1.1 Основная цель программы «УМНИК» - выявление молодых учёных, стремящихся самореализоваться через инновационную деятельность, и стимулирование массового участия молодежи в научно-технической и инновационной деятельности путем организационной и финансовой поддержки инновационных проектов.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B232D0">
        <w:rPr>
          <w:rFonts w:ascii="Times New Roman" w:hAnsi="Times New Roman" w:cs="Times New Roman"/>
          <w:b/>
          <w:bCs/>
          <w:sz w:val="28"/>
          <w:szCs w:val="28"/>
        </w:rPr>
        <w:t> 1.2   Объем финансирования программы: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6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Фонд выделяет на финансирование программы 500 млн руб. в год. Каждый победитель программы получает по 200 тыс. рублей в год (включая отчисления, предусмотренные законодательством РФ).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Фонд финансирует выполнение проектов, направленных на проведение исследований в области научно-исследовательских и опытно-конструкторских разработок (НИОКР) победителей программы.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Малое инновационное предприятие, выполняющие государственный контракт по программе «УМНИК», получает финансирование от Фонда в размере не более 10% от годового финансирования победителя программы.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B232D0">
        <w:rPr>
          <w:rFonts w:ascii="Times New Roman" w:hAnsi="Times New Roman" w:cs="Times New Roman"/>
          <w:sz w:val="28"/>
          <w:szCs w:val="28"/>
        </w:rPr>
        <w:t> </w:t>
      </w:r>
      <w:r w:rsidRPr="00B232D0">
        <w:rPr>
          <w:rFonts w:ascii="Times New Roman" w:hAnsi="Times New Roman" w:cs="Times New Roman"/>
          <w:b/>
          <w:bCs/>
          <w:sz w:val="28"/>
          <w:szCs w:val="28"/>
        </w:rPr>
        <w:t>1.3   Срок проведения программы: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года. Решение о продолжении участия (переходе) на второй год принимается Экспертным Советом при Представительстве Фонда в каждом регионе по результатам работы победителя программы в течение первого года при условии выполнения всех требований программы.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B232D0">
        <w:rPr>
          <w:rFonts w:ascii="Times New Roman" w:hAnsi="Times New Roman" w:cs="Times New Roman"/>
          <w:sz w:val="28"/>
          <w:szCs w:val="28"/>
        </w:rPr>
        <w:t> </w:t>
      </w:r>
      <w:r w:rsidRPr="00B232D0">
        <w:rPr>
          <w:rFonts w:ascii="Times New Roman" w:hAnsi="Times New Roman" w:cs="Times New Roman"/>
          <w:b/>
          <w:bCs/>
          <w:sz w:val="28"/>
          <w:szCs w:val="28"/>
        </w:rPr>
        <w:t>1.4  Программа состоит из следующих этапов: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numPr>
          <w:ilvl w:val="0"/>
          <w:numId w:val="1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Аккредитация итоговых мероприятий.</w:t>
      </w:r>
    </w:p>
    <w:p w:rsidR="00257B65" w:rsidRPr="00257B65" w:rsidRDefault="00257B65" w:rsidP="00257B65">
      <w:pPr>
        <w:widowControl/>
        <w:numPr>
          <w:ilvl w:val="0"/>
          <w:numId w:val="1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Отбор победителей</w:t>
      </w:r>
    </w:p>
    <w:p w:rsidR="00257B65" w:rsidRPr="00257B65" w:rsidRDefault="00257B65" w:rsidP="00257B65">
      <w:pPr>
        <w:widowControl/>
        <w:numPr>
          <w:ilvl w:val="0"/>
          <w:numId w:val="1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Прием победителей на малое инновационное предприятие</w:t>
      </w:r>
    </w:p>
    <w:p w:rsidR="00257B65" w:rsidRPr="00257B65" w:rsidRDefault="00257B65" w:rsidP="00257B65">
      <w:pPr>
        <w:widowControl/>
        <w:numPr>
          <w:ilvl w:val="0"/>
          <w:numId w:val="1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Заключение государственного контракта</w:t>
      </w:r>
    </w:p>
    <w:p w:rsidR="00257B65" w:rsidRPr="00257B65" w:rsidRDefault="00257B65" w:rsidP="00257B65">
      <w:pPr>
        <w:widowControl/>
        <w:numPr>
          <w:ilvl w:val="0"/>
          <w:numId w:val="1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Выполнение условий государственного контракта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2.   Участники Программы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 2.1.  В Программе могут принимать участие физические лица от 18 до 28 лет включительно, являющиеся гражданами РФ, предлагающие к рассмотрению научно-технические проекты, отвечающие условиям, указанным в п.2.2. Положения.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6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 С 2012 года отбор участников Программы осуществляется на основании представляемых соискателями материалов и докладов по следующим направлениям:</w:t>
      </w:r>
    </w:p>
    <w:p w:rsidR="00257B65" w:rsidRPr="00257B65" w:rsidRDefault="00257B65" w:rsidP="00257B65">
      <w:pPr>
        <w:widowControl/>
        <w:numPr>
          <w:ilvl w:val="0"/>
          <w:numId w:val="2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Информационные технологии</w:t>
      </w:r>
    </w:p>
    <w:p w:rsidR="00257B65" w:rsidRPr="00257B65" w:rsidRDefault="00257B65" w:rsidP="00257B65">
      <w:pPr>
        <w:widowControl/>
        <w:numPr>
          <w:ilvl w:val="0"/>
          <w:numId w:val="2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Медицина будущего</w:t>
      </w:r>
    </w:p>
    <w:p w:rsidR="00257B65" w:rsidRPr="00257B65" w:rsidRDefault="00257B65" w:rsidP="00257B65">
      <w:pPr>
        <w:widowControl/>
        <w:numPr>
          <w:ilvl w:val="0"/>
          <w:numId w:val="2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Современные материалы и технологии их создания</w:t>
      </w:r>
    </w:p>
    <w:p w:rsidR="00257B65" w:rsidRPr="00257B65" w:rsidRDefault="00257B65" w:rsidP="00257B65">
      <w:pPr>
        <w:widowControl/>
        <w:numPr>
          <w:ilvl w:val="0"/>
          <w:numId w:val="2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Новые приборы и аппаратные комплексы</w:t>
      </w:r>
    </w:p>
    <w:p w:rsidR="00257B65" w:rsidRPr="00257B65" w:rsidRDefault="00257B65" w:rsidP="00257B65">
      <w:pPr>
        <w:widowControl/>
        <w:numPr>
          <w:ilvl w:val="0"/>
          <w:numId w:val="2"/>
        </w:numPr>
        <w:spacing w:after="0" w:line="195" w:lineRule="atLeast"/>
        <w:ind w:left="1044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Биотехнологии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 Проекты, представленные участниками Программы, должны отвечать следующим критериям:</w:t>
      </w:r>
    </w:p>
    <w:p w:rsidR="00257B65" w:rsidRPr="00257B65" w:rsidRDefault="00257B65" w:rsidP="00257B65">
      <w:pPr>
        <w:widowControl/>
        <w:numPr>
          <w:ilvl w:val="0"/>
          <w:numId w:val="3"/>
        </w:numPr>
        <w:spacing w:after="0" w:line="195" w:lineRule="atLeast"/>
        <w:ind w:left="1202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Новизна и актуальность;</w:t>
      </w:r>
    </w:p>
    <w:p w:rsidR="00257B65" w:rsidRPr="00257B65" w:rsidRDefault="00257B65" w:rsidP="00257B65">
      <w:pPr>
        <w:widowControl/>
        <w:numPr>
          <w:ilvl w:val="0"/>
          <w:numId w:val="3"/>
        </w:numPr>
        <w:spacing w:after="0" w:line="195" w:lineRule="atLeast"/>
        <w:ind w:left="1202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Техническая значимость продукции или технологии;</w:t>
      </w:r>
    </w:p>
    <w:p w:rsidR="00257B65" w:rsidRPr="00257B65" w:rsidRDefault="00257B65" w:rsidP="00257B65">
      <w:pPr>
        <w:widowControl/>
        <w:numPr>
          <w:ilvl w:val="0"/>
          <w:numId w:val="3"/>
        </w:numPr>
        <w:spacing w:after="0" w:line="195" w:lineRule="atLeast"/>
        <w:ind w:left="1202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Реальность коммерческой реализации проекта.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 2.3. Отбор победителей среди участников программы осуществляют экспертные советы, созданные организационными комитетами на аккредитованных Фондом мероприятиях, проводимых учебными заведениями (ВУЗы, научные институты и пр.)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3. Порядок заключения государственного контракта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86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8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3.1. Региональное представительство Фонда после отбора победителей Программы   в   ходе   проведения   Мероприятия   предлагает   им   малое предприятие, по договору с которым участники Программы будут выполнять свой проект. Государственный контракт заключается с этим предприятием.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8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3.2. Отобранные победители Программы для реализации своего проекта заключают трудовые соглашения с малым инновационным предприятием, предоставляемым региональным представительством Фонда, которое осуществляет организационное и финансовое сопровождение проектов.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 3.3. Предприятие должно иметь статус субъекта малого предпринимательства в соответствии с Федеральным законом № 209-ФЗ от 24.07.2007 г., где установлены следующие критерии:</w:t>
      </w:r>
    </w:p>
    <w:p w:rsidR="00257B65" w:rsidRPr="00257B65" w:rsidRDefault="00257B65" w:rsidP="00257B65">
      <w:pPr>
        <w:widowControl/>
        <w:numPr>
          <w:ilvl w:val="0"/>
          <w:numId w:val="4"/>
        </w:numPr>
        <w:spacing w:after="0" w:line="195" w:lineRule="atLeast"/>
        <w:ind w:left="103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субъектов малого предпринимательства не должна превышать двадцать пять процентов (за исключением активов акционерных инвестиционных фондов и закрытых паевых инвестиционных фондов); доля участия, принадлежащая одному или нескольким юридическим лицам, не являющимся субъектами малого </w:t>
      </w: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и среднего предпринимательства, не должна превышать двадцать пять процентов;</w:t>
      </w:r>
    </w:p>
    <w:p w:rsidR="00257B65" w:rsidRPr="00257B65" w:rsidRDefault="00257B65" w:rsidP="00257B65">
      <w:pPr>
        <w:widowControl/>
        <w:numPr>
          <w:ilvl w:val="0"/>
          <w:numId w:val="4"/>
        </w:numPr>
        <w:spacing w:after="0" w:line="195" w:lineRule="atLeast"/>
        <w:ind w:left="103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Средняя численность работников за предшествующий календарный год не должна превышать до ста человек включительно;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Предприятие должно иметь следующий код ОКВЭД:</w:t>
      </w:r>
      <w:r w:rsidRPr="00B232D0">
        <w:rPr>
          <w:rFonts w:ascii="Times New Roman" w:hAnsi="Times New Roman" w:cs="Times New Roman"/>
          <w:sz w:val="28"/>
          <w:szCs w:val="28"/>
        </w:rPr>
        <w:t> </w:t>
      </w: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73.10</w:t>
      </w:r>
      <w:r w:rsidRPr="00B232D0">
        <w:rPr>
          <w:rFonts w:ascii="Times New Roman" w:hAnsi="Times New Roman" w:cs="Times New Roman"/>
          <w:sz w:val="28"/>
          <w:szCs w:val="28"/>
        </w:rPr>
        <w:t> </w:t>
      </w: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(Научные исследования и разработки в области естественных и технических наук).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8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8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3.4. В соответствии с действующим законодательством, госконтракт должен быть заключен не позднее 20 дней со дня опубликования итогов конкурса малых инновационный предприятий.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B232D0">
        <w:rPr>
          <w:rFonts w:ascii="Times New Roman" w:hAnsi="Times New Roman" w:cs="Times New Roman"/>
          <w:b/>
          <w:bCs/>
          <w:sz w:val="28"/>
          <w:szCs w:val="28"/>
        </w:rPr>
        <w:t>4. Выполнение государственного контракта: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</w:rPr>
        <w:t> 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4.1. Выполнение государственного контракта заключается в проведении научно-исследовательских работ в соответствии с Календарным планом и техническим заданием, являющимися неотъемлемой частью государственного контракта.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Результатом каждого этапа календарного плана является научно технический и финансовые отчеты, направляемые предприятием в Фонд.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4.2. Итогом выполнения государственного контракта является заключительный научно-технический и финансовые отчеты, а также заключение экспертного совета ВУЗа о выполнении технического задания.</w:t>
      </w:r>
    </w:p>
    <w:p w:rsidR="00257B65" w:rsidRPr="00257B65" w:rsidRDefault="00257B65" w:rsidP="00257B65">
      <w:pPr>
        <w:widowControl/>
        <w:shd w:val="clear" w:color="auto" w:fill="F8F8F8"/>
        <w:spacing w:after="0" w:line="195" w:lineRule="atLeast"/>
        <w:ind w:firstLine="57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7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4.3. Победители Программы, успешно закончившие ее двухлетний цикл и в результате создавшие интеллектуальную собственность, получают право подавать заявку на участие в программе «СТАРТ».</w:t>
      </w:r>
    </w:p>
    <w:p w:rsidR="00A77B3E" w:rsidRPr="00B232D0" w:rsidRDefault="00A77B3E" w:rsidP="00257B65">
      <w:pPr>
        <w:widowControl/>
        <w:spacing w:before="72" w:after="0" w:line="317" w:lineRule="auto"/>
        <w:ind w:left="1632" w:right="1555"/>
        <w:jc w:val="center"/>
        <w:rPr>
          <w:rFonts w:ascii="Times New Roman" w:hAnsi="Times New Roman" w:cs="Times New Roman"/>
          <w:sz w:val="28"/>
          <w:szCs w:val="28"/>
        </w:rPr>
      </w:pPr>
    </w:p>
    <w:sectPr w:rsidR="00A77B3E" w:rsidRPr="00B232D0">
      <w:footerReference w:type="default" r:id="rId15"/>
      <w:pgSz w:w="11906" w:h="16838"/>
      <w:pgMar w:top="1134" w:right="850" w:bottom="1134" w:left="993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5D" w:rsidRDefault="000E5A5D">
      <w:pPr>
        <w:spacing w:after="0" w:line="240" w:lineRule="auto"/>
      </w:pPr>
      <w:r>
        <w:separator/>
      </w:r>
    </w:p>
  </w:endnote>
  <w:endnote w:type="continuationSeparator" w:id="1">
    <w:p w:rsidR="000E5A5D" w:rsidRDefault="000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A5D">
    <w:pPr>
      <w:widowControl/>
      <w:spacing w:after="0" w:line="240" w:lineRule="auto"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>PAGE</w:instrText>
    </w:r>
    <w:r w:rsidR="009244EE">
      <w:rPr>
        <w:lang w:val="en-US"/>
      </w:rPr>
      <w:fldChar w:fldCharType="separate"/>
    </w:r>
    <w:r w:rsidR="00B232D0">
      <w:rPr>
        <w:noProof/>
        <w:lang w:val="en-US"/>
      </w:rPr>
      <w:t>1</w:t>
    </w:r>
    <w:r>
      <w:rPr>
        <w:lang w:val="en-US"/>
      </w:rPr>
      <w:fldChar w:fldCharType="end"/>
    </w:r>
  </w:p>
  <w:p w:rsidR="00000000" w:rsidRDefault="000E5A5D">
    <w:pPr>
      <w:widowControl/>
      <w:spacing w:after="0" w:line="24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5D" w:rsidRDefault="000E5A5D">
      <w:pPr>
        <w:spacing w:after="0" w:line="240" w:lineRule="auto"/>
      </w:pPr>
      <w:r>
        <w:separator/>
      </w:r>
    </w:p>
  </w:footnote>
  <w:footnote w:type="continuationSeparator" w:id="1">
    <w:p w:rsidR="000E5A5D" w:rsidRDefault="000E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234"/>
    <w:multiLevelType w:val="multilevel"/>
    <w:tmpl w:val="4C8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FB0BAC"/>
    <w:multiLevelType w:val="multilevel"/>
    <w:tmpl w:val="85F4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654A4"/>
    <w:multiLevelType w:val="multilevel"/>
    <w:tmpl w:val="E1C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1E2073"/>
    <w:multiLevelType w:val="multilevel"/>
    <w:tmpl w:val="302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DF7"/>
    <w:rsid w:val="000E5A5D"/>
    <w:rsid w:val="00257B65"/>
    <w:rsid w:val="003B1DF7"/>
    <w:rsid w:val="009244EE"/>
    <w:rsid w:val="00A77B3E"/>
    <w:rsid w:val="00B232D0"/>
    <w:rsid w:val="00C0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Balloon Text"/>
    <w:basedOn w:val="a"/>
    <w:link w:val="a8"/>
    <w:rsid w:val="0092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44EE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locked/>
    <w:rsid w:val="00257B65"/>
    <w:rPr>
      <w:b/>
      <w:bCs/>
    </w:rPr>
  </w:style>
  <w:style w:type="character" w:customStyle="1" w:styleId="apple-converted-space">
    <w:name w:val="apple-converted-space"/>
    <w:basedOn w:val="a0"/>
    <w:rsid w:val="00257B65"/>
  </w:style>
  <w:style w:type="paragraph" w:styleId="aa">
    <w:name w:val="Normal (Web)"/>
    <w:basedOn w:val="a"/>
    <w:uiPriority w:val="99"/>
    <w:unhideWhenUsed/>
    <w:rsid w:val="00C06348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b">
    <w:name w:val="Hyperlink"/>
    <w:basedOn w:val="a0"/>
    <w:uiPriority w:val="99"/>
    <w:unhideWhenUsed/>
    <w:rsid w:val="00C06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69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97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6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441">
          <w:marLeft w:val="59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91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227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17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854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58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">
          <w:marLeft w:val="1166"/>
          <w:marRight w:val="3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97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64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960">
          <w:marLeft w:val="6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64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51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938">
          <w:marLeft w:val="6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426">
          <w:marLeft w:val="61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4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9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5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1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475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752">
          <w:marLeft w:val="5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7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0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48;&#1074;&#1072;&#1085;%20&#1040;&#1083;&#1077;&#1082;&#1089;&#1072;&#1085;&#1076;&#1088;&#1086;&#1074;&#1080;&#1095;\&#1056;&#1072;&#1073;&#1086;&#1095;&#1080;&#1081;%20&#1089;&#1090;&#1086;&#1083;\&#1059;&#1052;&#1053;&#1048;&#1050;\&#1059;&#1052;&#1053;&#1048;&#1050;.%20&#1055;&#1072;&#1082;&#1077;&#1090;%20&#1084;&#1077;&#1090;&#1086;&#1076;&#1080;&#1095;&#1077;&#1089;&#1082;&#1080;&#1093;%20&#1084;&#1072;&#1090;&#1077;&#1088;&#1080;&#1072;&#1083;&#1086;&#1074;\Image_0" TargetMode="External"/><Relationship Id="rId13" Type="http://schemas.openxmlformats.org/officeDocument/2006/relationships/hyperlink" Target="http://www.fasie.ru/programmy/qrazvitieq/mezhdunarodny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sie.ru/vzaimodejstvie-s-institutam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sie.ru/programmy/qumnik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sie.ru/o-fonde/predstavi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ie.ru/o-fonde/nabludatelnyi-sovet" TargetMode="External"/><Relationship Id="rId14" Type="http://schemas.openxmlformats.org/officeDocument/2006/relationships/hyperlink" Target="http://www.fasie.ru/o-fonde/rukovodstvo/generalny-direk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2013-02-18T07:14:00Z</dcterms:created>
  <dcterms:modified xsi:type="dcterms:W3CDTF">2013-02-18T07:25:00Z</dcterms:modified>
</cp:coreProperties>
</file>